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 xml:space="preserve">. </w:t>
      </w:r>
      <w:r w:rsidR="00FA6156">
        <w:rPr>
          <w:rFonts w:ascii="Arial" w:hAnsi="Arial" w:cs="Arial"/>
          <w:sz w:val="44"/>
          <w:szCs w:val="44"/>
        </w:rPr>
        <w:t>b</w:t>
      </w:r>
      <w:r w:rsidR="008F0B33">
        <w:rPr>
          <w:rFonts w:ascii="Arial" w:hAnsi="Arial" w:cs="Arial"/>
          <w:sz w:val="44"/>
          <w:szCs w:val="44"/>
        </w:rPr>
        <w:t xml:space="preserve"> i </w:t>
      </w:r>
      <w:r w:rsidR="00FA6156">
        <w:rPr>
          <w:rFonts w:ascii="Arial" w:hAnsi="Arial" w:cs="Arial"/>
          <w:sz w:val="44"/>
          <w:szCs w:val="44"/>
        </w:rPr>
        <w:t>e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FA6156">
        <w:rPr>
          <w:rFonts w:ascii="Arial" w:hAnsi="Arial" w:cs="Arial"/>
          <w:sz w:val="44"/>
          <w:szCs w:val="44"/>
        </w:rPr>
        <w:t>1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FA6156">
        <w:rPr>
          <w:rFonts w:ascii="Arial" w:hAnsi="Arial" w:cs="Arial"/>
          <w:sz w:val="44"/>
          <w:szCs w:val="44"/>
        </w:rPr>
        <w:t>1.6</w:t>
      </w:r>
      <w:r w:rsidR="00FC6E8C">
        <w:rPr>
          <w:rFonts w:ascii="Arial" w:hAnsi="Arial" w:cs="Arial"/>
          <w:sz w:val="44"/>
          <w:szCs w:val="44"/>
        </w:rPr>
        <w:t>. do 5.</w:t>
      </w:r>
      <w:r w:rsidR="00FA6156">
        <w:rPr>
          <w:rFonts w:ascii="Arial" w:hAnsi="Arial" w:cs="Arial"/>
          <w:sz w:val="44"/>
          <w:szCs w:val="44"/>
        </w:rPr>
        <w:t xml:space="preserve">6. </w:t>
      </w:r>
      <w:r w:rsidR="004738EB" w:rsidRPr="004738EB">
        <w:rPr>
          <w:rFonts w:ascii="Arial" w:hAnsi="Arial" w:cs="Arial"/>
          <w:color w:val="FF0000"/>
          <w:sz w:val="44"/>
          <w:szCs w:val="44"/>
        </w:rPr>
        <w:t xml:space="preserve">Turizam </w:t>
      </w:r>
      <w:r w:rsidR="00FC6E8C">
        <w:rPr>
          <w:rFonts w:ascii="Arial" w:hAnsi="Arial" w:cs="Arial"/>
          <w:color w:val="FF0000"/>
          <w:sz w:val="44"/>
          <w:szCs w:val="44"/>
        </w:rPr>
        <w:t>Nizins</w:t>
      </w:r>
      <w:r w:rsidRPr="00642C90">
        <w:rPr>
          <w:rFonts w:ascii="Arial" w:hAnsi="Arial" w:cs="Arial"/>
          <w:color w:val="FF0000"/>
          <w:sz w:val="44"/>
          <w:szCs w:val="44"/>
        </w:rPr>
        <w:t>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obrada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navesti i objasniti</w:t>
      </w:r>
      <w:r w:rsidRPr="0053616C">
        <w:rPr>
          <w:rFonts w:ascii="Arial" w:hAnsi="Arial" w:cs="Arial"/>
          <w:sz w:val="22"/>
          <w:szCs w:val="22"/>
        </w:rPr>
        <w:t xml:space="preserve"> pretpostavke za razvoj turizma Nizinske Hrvatske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imenovati </w:t>
      </w:r>
      <w:r w:rsidRPr="0053616C">
        <w:rPr>
          <w:rFonts w:ascii="Arial" w:hAnsi="Arial" w:cs="Arial"/>
          <w:sz w:val="22"/>
          <w:szCs w:val="22"/>
        </w:rPr>
        <w:t xml:space="preserve">dvije turističke regije Nizinske Hrvatske 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izdvojiti </w:t>
      </w:r>
      <w:r w:rsidRPr="0053616C">
        <w:rPr>
          <w:rFonts w:ascii="Arial" w:hAnsi="Arial" w:cs="Arial"/>
          <w:sz w:val="22"/>
          <w:szCs w:val="22"/>
        </w:rPr>
        <w:t>kulturno- povijesne znamenitosti većih gradova Nizinske Hrvatske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klasificirati </w:t>
      </w:r>
      <w:r w:rsidRPr="0053616C">
        <w:rPr>
          <w:rFonts w:ascii="Arial" w:hAnsi="Arial" w:cs="Arial"/>
          <w:sz w:val="22"/>
          <w:szCs w:val="22"/>
        </w:rPr>
        <w:t>vrste turizma u Nizinskoj Hrvatskoj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objasniti pojam</w:t>
      </w:r>
      <w:r w:rsidRPr="0053616C">
        <w:rPr>
          <w:rFonts w:ascii="Arial" w:hAnsi="Arial" w:cs="Arial"/>
          <w:sz w:val="22"/>
          <w:szCs w:val="22"/>
        </w:rPr>
        <w:t xml:space="preserve"> zdravstveno-lječilišnog turizma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sz w:val="22"/>
          <w:szCs w:val="22"/>
        </w:rPr>
        <w:t xml:space="preserve">- </w:t>
      </w:r>
      <w:r w:rsidRPr="0053616C">
        <w:rPr>
          <w:rFonts w:ascii="Arial" w:hAnsi="Arial" w:cs="Arial"/>
          <w:b/>
          <w:sz w:val="22"/>
          <w:szCs w:val="22"/>
        </w:rPr>
        <w:t xml:space="preserve"> razvrstati </w:t>
      </w:r>
      <w:r w:rsidRPr="0053616C">
        <w:rPr>
          <w:rFonts w:ascii="Arial" w:hAnsi="Arial" w:cs="Arial"/>
          <w:sz w:val="22"/>
          <w:szCs w:val="22"/>
        </w:rPr>
        <w:t>najpoznatija turistička odredišta prema vrsti turizma</w:t>
      </w:r>
    </w:p>
    <w:p w:rsidR="00DE3C24" w:rsidRPr="00DE3C24" w:rsidRDefault="0053616C" w:rsidP="0053616C">
      <w:pPr>
        <w:spacing w:after="0"/>
        <w:rPr>
          <w:rFonts w:ascii="Arial" w:hAnsi="Arial" w:cs="Arial"/>
        </w:rPr>
      </w:pPr>
      <w:r w:rsidRPr="0053616C">
        <w:rPr>
          <w:rFonts w:ascii="Arial" w:hAnsi="Arial" w:cs="Arial"/>
        </w:rPr>
        <w:t xml:space="preserve">- </w:t>
      </w:r>
      <w:r w:rsidRPr="0053616C">
        <w:rPr>
          <w:rFonts w:ascii="Arial" w:hAnsi="Arial" w:cs="Arial"/>
          <w:b/>
        </w:rPr>
        <w:t>usporediti</w:t>
      </w:r>
      <w:r w:rsidRPr="0053616C">
        <w:rPr>
          <w:rFonts w:ascii="Arial" w:hAnsi="Arial" w:cs="Arial"/>
        </w:rPr>
        <w:t xml:space="preserve"> turizam Nizinske Hrvatske s ostalim turističkim regijama</w:t>
      </w: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060415" w:rsidRDefault="00060415" w:rsidP="00553288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 w:rsidR="00553288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5232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85FE7" w:rsidRPr="00E85FE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TURIZAM </w:t>
      </w:r>
      <w:r w:rsidR="00DE3C24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NIZINSKE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HRVATSKE</w:t>
      </w:r>
    </w:p>
    <w:p w:rsidR="005F34B3" w:rsidRDefault="005F34B3" w:rsidP="00553288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:rsidR="005F34B3" w:rsidRPr="00D35D38" w:rsidRDefault="005F34B3" w:rsidP="005F34B3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>Pročitajte odlomak Turizam u udžbeniku na str. 157 i 158. i odgovorite na sljedeća pitanja: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su prirodne pretpostavke razvoju turizma u Nizinskoj Hrvatskoj?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su društvene pretpostavke razvoju turizma u Nizinskoj Hrvatskoj?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su dvije turističke regije u Nizinskoj Hrvatskoj?</w:t>
      </w:r>
    </w:p>
    <w:p w:rsidR="005F34B3" w:rsidRPr="00D35D38" w:rsidRDefault="005F34B3" w:rsidP="005F34B3">
      <w:pPr>
        <w:pStyle w:val="Odlomakpopisa"/>
        <w:spacing w:line="360" w:lineRule="auto"/>
        <w:ind w:left="1080" w:right="-568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5F34B3" w:rsidRPr="00D35D38" w:rsidRDefault="005F34B3" w:rsidP="005F34B3">
      <w:pPr>
        <w:tabs>
          <w:tab w:val="left" w:pos="709"/>
        </w:tabs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234315</wp:posOffset>
            </wp:positionV>
            <wp:extent cx="2980690" cy="1847215"/>
            <wp:effectExtent l="0" t="0" r="10160" b="635"/>
            <wp:wrapSquare wrapText="bothSides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0CDBBA1B-B973-467A-85C7-0147F13761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38">
        <w:rPr>
          <w:rFonts w:ascii="Arial" w:hAnsi="Arial" w:cs="Arial"/>
          <w:i/>
          <w:iCs/>
          <w:color w:val="FF0000"/>
        </w:rPr>
        <w:t>Proučite  sljedeća dva dijagrama pa odgovorite na pitanja.</w:t>
      </w:r>
    </w:p>
    <w:p w:rsidR="005F34B3" w:rsidRPr="00D35D38" w:rsidRDefault="005F34B3" w:rsidP="005F34B3">
      <w:pPr>
        <w:pStyle w:val="Odlomakpopisa"/>
        <w:spacing w:line="360" w:lineRule="auto"/>
        <w:ind w:left="-567" w:right="-851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 xml:space="preserve">     </w:t>
      </w:r>
      <w:r w:rsidRPr="00D35D3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14700" cy="184785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633D0226-E49C-4E9E-976C-5F6D20F52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34B3" w:rsidRPr="00D35D38" w:rsidRDefault="005F34B3" w:rsidP="005F34B3">
      <w:pPr>
        <w:pStyle w:val="Odlomakpopisa"/>
        <w:spacing w:line="360" w:lineRule="auto"/>
        <w:ind w:left="-567" w:right="-1276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Sl. 1. Broj turističkih dolazaka u Hrvatskoj u 2019. godini         Sl. 2. Ostvarena noćenja turista u Hrvatskoj u 2019. godini</w:t>
      </w:r>
    </w:p>
    <w:p w:rsidR="005F34B3" w:rsidRPr="00D35D38" w:rsidRDefault="005F34B3" w:rsidP="005F34B3">
      <w:pPr>
        <w:pStyle w:val="Odlomakpopisa"/>
        <w:spacing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 xml:space="preserve">Izvor: </w:t>
      </w:r>
      <w:hyperlink r:id="rId7" w:history="1">
        <w:r w:rsidRPr="00D35D38">
          <w:rPr>
            <w:rStyle w:val="Hiperveza"/>
            <w:rFonts w:ascii="Arial" w:hAnsi="Arial" w:cs="Arial"/>
            <w:sz w:val="22"/>
            <w:szCs w:val="22"/>
          </w:rPr>
          <w:t>https://www.dzs.hr/Hrv_Eng/publication/2019/04-03-02_01_2019.htm</w:t>
        </w:r>
      </w:hyperlink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Koji je udio Kontinentalne Hrvatske u ukupnom broju dolazaka i noćenja turista?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Je li takav udio razmjeran broju stanovnika i površini regije?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Koji su razlozi takvoj raspodjeli dolazaka i noćenja?</w:t>
      </w:r>
    </w:p>
    <w:p w:rsidR="005F34B3" w:rsidRPr="00D35D38" w:rsidRDefault="005F34B3" w:rsidP="005F34B3">
      <w:pPr>
        <w:spacing w:line="360" w:lineRule="auto"/>
        <w:ind w:left="-567"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 xml:space="preserve">Proučite sljedeći dijagram i odgovorite na pitanja. </w:t>
      </w:r>
    </w:p>
    <w:p w:rsidR="005F34B3" w:rsidRPr="00D35D38" w:rsidRDefault="005F34B3" w:rsidP="005F34B3">
      <w:pPr>
        <w:pStyle w:val="Odlomakpopisa"/>
        <w:spacing w:line="360" w:lineRule="auto"/>
        <w:ind w:left="-284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257925" cy="4486275"/>
            <wp:effectExtent l="0" t="0" r="9525" b="952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F4B90AD4-E18A-49B2-8DF2-52E92F4C8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4B3" w:rsidRPr="00D35D38" w:rsidRDefault="005F34B3" w:rsidP="005F34B3">
      <w:pPr>
        <w:pStyle w:val="Odlomakpopisa"/>
        <w:spacing w:line="360" w:lineRule="auto"/>
        <w:ind w:left="-284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Sl. 3. Broj turističkih dolazaka u Hrvatskoj po županijama u 2019. godini</w:t>
      </w:r>
    </w:p>
    <w:p w:rsidR="005F34B3" w:rsidRPr="00D35D38" w:rsidRDefault="005F34B3" w:rsidP="005F34B3">
      <w:pPr>
        <w:pStyle w:val="Odlomakpopisa"/>
        <w:spacing w:line="360" w:lineRule="auto"/>
        <w:ind w:left="-284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 xml:space="preserve">Izvor: </w:t>
      </w:r>
      <w:hyperlink r:id="rId9" w:history="1">
        <w:r w:rsidRPr="00D35D38">
          <w:rPr>
            <w:rStyle w:val="Hiperveza"/>
            <w:rFonts w:ascii="Arial" w:hAnsi="Arial" w:cs="Arial"/>
            <w:sz w:val="22"/>
            <w:szCs w:val="22"/>
          </w:rPr>
          <w:t>https://www.dzs.hr/Hrv_Eng/publication/2019/04-03-02_01_2019.htm</w:t>
        </w:r>
      </w:hyperlink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Koja županija u Hrvatskoj ima najveći broj dolazaka turista?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Koja županija u Nizinskoj Hrvatskoj ima najveći broj dolazaka turista?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četiri županije imaju najmanji broj dolazaka turista?</w:t>
      </w:r>
    </w:p>
    <w:p w:rsidR="005F34B3" w:rsidRPr="00D35D38" w:rsidRDefault="005F34B3" w:rsidP="005F34B3">
      <w:pPr>
        <w:pStyle w:val="Odlomakpopisa"/>
        <w:spacing w:line="360" w:lineRule="auto"/>
        <w:ind w:left="644" w:right="-568"/>
        <w:jc w:val="both"/>
        <w:rPr>
          <w:rFonts w:ascii="Arial" w:hAnsi="Arial" w:cs="Arial"/>
          <w:sz w:val="22"/>
          <w:szCs w:val="22"/>
        </w:rPr>
      </w:pPr>
    </w:p>
    <w:p w:rsidR="005F34B3" w:rsidRPr="00D35D38" w:rsidRDefault="005F34B3" w:rsidP="005F34B3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>Pomoću digitalnog materijala na</w:t>
      </w:r>
      <w:r w:rsidRPr="00D35D38">
        <w:rPr>
          <w:rFonts w:ascii="Arial" w:hAnsi="Arial" w:cs="Arial"/>
          <w:color w:val="FF0000"/>
        </w:rPr>
        <w:t xml:space="preserve"> </w:t>
      </w:r>
      <w:hyperlink r:id="rId10" w:history="1">
        <w:r w:rsidRPr="00D35D38">
          <w:rPr>
            <w:rStyle w:val="Hiperveza"/>
            <w:rFonts w:ascii="Arial" w:hAnsi="Arial" w:cs="Arial"/>
          </w:rPr>
          <w:t>https://view.genial.ly/5e9fdd7043a2920da1df3096/interactive-image-turizam-nizinske-hrvatske</w:t>
        </w:r>
      </w:hyperlink>
      <w:r w:rsidRPr="00D35D38">
        <w:rPr>
          <w:rFonts w:ascii="Arial" w:hAnsi="Arial" w:cs="Arial"/>
        </w:rPr>
        <w:t xml:space="preserve"> </w:t>
      </w:r>
      <w:r w:rsidR="0053616C" w:rsidRPr="0053616C">
        <w:rPr>
          <w:rFonts w:ascii="Arial" w:hAnsi="Arial" w:cs="Arial"/>
          <w:i/>
          <w:iCs/>
          <w:color w:val="FF0000"/>
        </w:rPr>
        <w:t>i udžbenika</w:t>
      </w:r>
      <w:r w:rsidR="0053616C" w:rsidRPr="0053616C">
        <w:rPr>
          <w:rFonts w:ascii="Arial" w:hAnsi="Arial" w:cs="Arial"/>
          <w:color w:val="FF0000"/>
        </w:rPr>
        <w:t xml:space="preserve"> </w:t>
      </w:r>
      <w:r w:rsidRPr="00D35D38">
        <w:rPr>
          <w:rFonts w:ascii="Arial" w:hAnsi="Arial" w:cs="Arial"/>
          <w:i/>
          <w:iCs/>
          <w:color w:val="FF0000"/>
        </w:rPr>
        <w:t>otkrijte koje su najpoznatiji turistički gradovi, manifestacije i spomenici u Nizinskoj Hrvatskoj. Zatim popuni</w:t>
      </w:r>
      <w:r w:rsidR="007E6F50" w:rsidRPr="00D35D38">
        <w:rPr>
          <w:rFonts w:ascii="Arial" w:hAnsi="Arial" w:cs="Arial"/>
          <w:i/>
          <w:iCs/>
          <w:color w:val="FF0000"/>
        </w:rPr>
        <w:t xml:space="preserve">te </w:t>
      </w:r>
      <w:r w:rsidRPr="00D35D38">
        <w:rPr>
          <w:rFonts w:ascii="Arial" w:hAnsi="Arial" w:cs="Arial"/>
          <w:i/>
          <w:iCs/>
          <w:color w:val="FF0000"/>
        </w:rPr>
        <w:t>tablicu.</w:t>
      </w:r>
    </w:p>
    <w:tbl>
      <w:tblPr>
        <w:tblStyle w:val="Tablicareetke4-isticanje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2188"/>
        <w:gridCol w:w="2788"/>
      </w:tblGrid>
      <w:tr w:rsidR="005F34B3" w:rsidRPr="00D35D38" w:rsidTr="005F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turistička regija</w:t>
            </w:r>
          </w:p>
        </w:tc>
        <w:tc>
          <w:tcPr>
            <w:tcW w:w="2188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35D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središnja Hrvatska</w:t>
            </w:r>
          </w:p>
        </w:tc>
        <w:tc>
          <w:tcPr>
            <w:tcW w:w="2788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35D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istočnohrvatska</w:t>
            </w: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F34B3" w:rsidRPr="00D35D38">
              <w:rPr>
                <w:rFonts w:ascii="Arial" w:hAnsi="Arial" w:cs="Arial"/>
                <w:sz w:val="22"/>
                <w:szCs w:val="22"/>
              </w:rPr>
              <w:t>radovi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B3" w:rsidRPr="00D35D38" w:rsidTr="005F34B3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F34B3" w:rsidRPr="00D35D38">
              <w:rPr>
                <w:rFonts w:ascii="Arial" w:hAnsi="Arial" w:cs="Arial"/>
                <w:sz w:val="22"/>
                <w:szCs w:val="22"/>
              </w:rPr>
              <w:t>anifestacije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F34B3" w:rsidRPr="00D35D38">
              <w:rPr>
                <w:rFonts w:ascii="Arial" w:hAnsi="Arial" w:cs="Arial"/>
                <w:sz w:val="22"/>
                <w:szCs w:val="22"/>
              </w:rPr>
              <w:t>ulturno-povijesni spomenici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16C" w:rsidRPr="00D35D38" w:rsidTr="005F34B3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Dvorci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B3" w:rsidRPr="00D35D38" w:rsidTr="0053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Zdravstveno-lječilišni turizam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16C" w:rsidRPr="00D35D38" w:rsidTr="005F34B3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3616C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Vjerski turizam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12" w:space="0" w:color="A5A5A5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4B3" w:rsidRPr="00D35D38" w:rsidRDefault="005F34B3" w:rsidP="005F34B3">
      <w:pPr>
        <w:pStyle w:val="Odlomakpopisa"/>
        <w:spacing w:line="360" w:lineRule="auto"/>
        <w:ind w:right="-568"/>
        <w:jc w:val="both"/>
        <w:rPr>
          <w:rFonts w:ascii="Arial" w:hAnsi="Arial" w:cs="Arial"/>
          <w:sz w:val="22"/>
          <w:szCs w:val="22"/>
          <w:lang w:eastAsia="en-US" w:bidi="hi-IN"/>
        </w:rPr>
      </w:pPr>
    </w:p>
    <w:p w:rsidR="005F34B3" w:rsidRPr="00D35D38" w:rsidRDefault="007E6F50" w:rsidP="007E6F5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>Na kraju r</w:t>
      </w:r>
      <w:r w:rsidR="005F34B3" w:rsidRPr="00D35D38">
        <w:rPr>
          <w:rFonts w:ascii="Arial" w:hAnsi="Arial" w:cs="Arial"/>
          <w:i/>
          <w:iCs/>
          <w:color w:val="FF0000"/>
        </w:rPr>
        <w:t>iješi</w:t>
      </w:r>
      <w:r w:rsidRPr="00D35D38">
        <w:rPr>
          <w:rFonts w:ascii="Arial" w:hAnsi="Arial" w:cs="Arial"/>
          <w:i/>
          <w:iCs/>
          <w:color w:val="FF0000"/>
        </w:rPr>
        <w:t xml:space="preserve">te </w:t>
      </w:r>
      <w:r w:rsidR="005F34B3" w:rsidRPr="00D35D38">
        <w:rPr>
          <w:rFonts w:ascii="Arial" w:hAnsi="Arial" w:cs="Arial"/>
          <w:i/>
          <w:iCs/>
          <w:color w:val="FF0000"/>
        </w:rPr>
        <w:t>listić za procjenu.</w:t>
      </w:r>
    </w:p>
    <w:tbl>
      <w:tblPr>
        <w:tblStyle w:val="Tablicareetke4-isticanje6"/>
        <w:tblW w:w="0" w:type="auto"/>
        <w:tblInd w:w="0" w:type="dxa"/>
        <w:tblLook w:val="04A0" w:firstRow="1" w:lastRow="0" w:firstColumn="1" w:lastColumn="0" w:noHBand="0" w:noVBand="1"/>
      </w:tblPr>
      <w:tblGrid>
        <w:gridCol w:w="8150"/>
      </w:tblGrid>
      <w:tr w:rsidR="005F34B3" w:rsidRPr="00D35D38" w:rsidTr="005F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Zadatci su mi bili:  jako teški    1   2   3   4    5      izrazito lagani</w:t>
            </w: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Aktivnost koja mi je bila najzanimljivija je …</w:t>
            </w:r>
          </w:p>
        </w:tc>
      </w:tr>
      <w:tr w:rsidR="005F34B3" w:rsidRPr="00D35D38" w:rsidTr="005F34B3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Aktivnost koja mi je bila najmanje zanimljiva je …</w:t>
            </w: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Najkorisnija stvar koju sam danas naučio</w:t>
            </w:r>
            <w:r w:rsidR="00D35D38">
              <w:rPr>
                <w:rFonts w:ascii="Arial" w:hAnsi="Arial" w:cs="Arial"/>
                <w:sz w:val="22"/>
                <w:szCs w:val="22"/>
              </w:rPr>
              <w:t xml:space="preserve">/la </w:t>
            </w:r>
            <w:r w:rsidRPr="00D35D38">
              <w:rPr>
                <w:rFonts w:ascii="Arial" w:hAnsi="Arial" w:cs="Arial"/>
                <w:sz w:val="22"/>
                <w:szCs w:val="22"/>
              </w:rPr>
              <w:t xml:space="preserve"> je …</w:t>
            </w:r>
          </w:p>
        </w:tc>
      </w:tr>
    </w:tbl>
    <w:p w:rsidR="005F34B3" w:rsidRPr="00D35D38" w:rsidRDefault="005F34B3" w:rsidP="00553288">
      <w:pPr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E44"/>
    <w:multiLevelType w:val="hybridMultilevel"/>
    <w:tmpl w:val="67A6B36A"/>
    <w:lvl w:ilvl="0" w:tplc="FB56D88E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82938"/>
    <w:multiLevelType w:val="hybridMultilevel"/>
    <w:tmpl w:val="30EACDC6"/>
    <w:lvl w:ilvl="0" w:tplc="0976598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1DD"/>
    <w:multiLevelType w:val="hybridMultilevel"/>
    <w:tmpl w:val="44668F28"/>
    <w:lvl w:ilvl="0" w:tplc="1DB29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0798D"/>
    <w:multiLevelType w:val="hybridMultilevel"/>
    <w:tmpl w:val="730AE8C4"/>
    <w:lvl w:ilvl="0" w:tplc="8D1038C6">
      <w:start w:val="1"/>
      <w:numFmt w:val="lowerLetter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2F5D"/>
    <w:multiLevelType w:val="hybridMultilevel"/>
    <w:tmpl w:val="787CCC92"/>
    <w:lvl w:ilvl="0" w:tplc="A7E6B1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2E2255"/>
    <w:rsid w:val="003710DA"/>
    <w:rsid w:val="003A1CCA"/>
    <w:rsid w:val="003A3295"/>
    <w:rsid w:val="00423B06"/>
    <w:rsid w:val="004724E8"/>
    <w:rsid w:val="004738EB"/>
    <w:rsid w:val="00487F34"/>
    <w:rsid w:val="004C5290"/>
    <w:rsid w:val="00517F32"/>
    <w:rsid w:val="0052322C"/>
    <w:rsid w:val="0053616C"/>
    <w:rsid w:val="00553288"/>
    <w:rsid w:val="005808A5"/>
    <w:rsid w:val="005C522D"/>
    <w:rsid w:val="005F34B3"/>
    <w:rsid w:val="006050EC"/>
    <w:rsid w:val="00642C90"/>
    <w:rsid w:val="006E178B"/>
    <w:rsid w:val="007167F1"/>
    <w:rsid w:val="00740467"/>
    <w:rsid w:val="007E6F50"/>
    <w:rsid w:val="00806E69"/>
    <w:rsid w:val="008269E3"/>
    <w:rsid w:val="0086340A"/>
    <w:rsid w:val="008F0B33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B634E9"/>
    <w:rsid w:val="00C35908"/>
    <w:rsid w:val="00C45CCE"/>
    <w:rsid w:val="00C542B3"/>
    <w:rsid w:val="00C724A2"/>
    <w:rsid w:val="00D15B8F"/>
    <w:rsid w:val="00D255BB"/>
    <w:rsid w:val="00D35D38"/>
    <w:rsid w:val="00D44DF8"/>
    <w:rsid w:val="00DC723E"/>
    <w:rsid w:val="00DE3C24"/>
    <w:rsid w:val="00DF006A"/>
    <w:rsid w:val="00E85FE7"/>
    <w:rsid w:val="00E90FB4"/>
    <w:rsid w:val="00F047D6"/>
    <w:rsid w:val="00F146C0"/>
    <w:rsid w:val="00F412B1"/>
    <w:rsid w:val="00F445AB"/>
    <w:rsid w:val="00F477E4"/>
    <w:rsid w:val="00FA6156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CE4EB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F34B3"/>
    <w:pPr>
      <w:spacing w:after="0" w:line="240" w:lineRule="auto"/>
    </w:pPr>
    <w:rPr>
      <w:rFonts w:cs="Mangal"/>
      <w:szCs w:val="20"/>
      <w:lang w:bidi="hi-IN"/>
    </w:rPr>
  </w:style>
  <w:style w:type="table" w:styleId="Tablicareetke4-isticanje2">
    <w:name w:val="Grid Table 4 Accent 2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3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www.dzs.hr/Hrv_Eng/publication/2019/04-03-02_01_201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view.genial.ly/5e9fdd7043a2920da1df3096/interactive-image-turizam-nizinske-hrvat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s.hr/Hrv_Eng/publication/2019/04-03-02_01_2019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084056800592236E-3"/>
          <c:y val="1.6520730551834544E-2"/>
          <c:w val="0.58333333333333337"/>
          <c:h val="0.97222222222222221"/>
        </c:manualLayout>
      </c:layout>
      <c:pieChart>
        <c:varyColors val="1"/>
        <c:ser>
          <c:idx val="0"/>
          <c:order val="0"/>
          <c:tx>
            <c:strRef>
              <c:f>List3!$C$2</c:f>
              <c:strCache>
                <c:ptCount val="1"/>
                <c:pt idx="0">
                  <c:v>broj dolazaka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42-4546-9917-6600BE8B0D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42-4546-9917-6600BE8B0DF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List3!$B$3:$B$4</c:f>
              <c:strCache>
                <c:ptCount val="2"/>
                <c:pt idx="0">
                  <c:v>Jadranska Hrvatska</c:v>
                </c:pt>
                <c:pt idx="1">
                  <c:v>Kontinentalna Hrvatska</c:v>
                </c:pt>
              </c:strCache>
            </c:strRef>
          </c:cat>
          <c:val>
            <c:numRef>
              <c:f>List3!$C$3:$C$4</c:f>
              <c:numCache>
                <c:formatCode>General</c:formatCode>
                <c:ptCount val="2"/>
                <c:pt idx="0">
                  <c:v>16924064</c:v>
                </c:pt>
                <c:pt idx="1">
                  <c:v>2642082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42-4546-9917-6600BE8B0D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96259842519689"/>
          <c:y val="0.27457531350247888"/>
          <c:w val="0.32637073490813651"/>
          <c:h val="0.374200890863745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814523184601926E-2"/>
          <c:y val="1.3888888888888888E-2"/>
          <c:w val="0.58888888888888891"/>
          <c:h val="0.981481481481481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E13-4B3B-BD93-DCF3291EEF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E13-4B3B-BD93-DCF3291EEF2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List3!$L$4:$L$5</c:f>
              <c:strCache>
                <c:ptCount val="2"/>
                <c:pt idx="0">
                  <c:v>Jadranska Hrvatska</c:v>
                </c:pt>
                <c:pt idx="1">
                  <c:v>Kontinentalna Hrvatska</c:v>
                </c:pt>
              </c:strCache>
            </c:strRef>
          </c:cat>
          <c:val>
            <c:numRef>
              <c:f>List3!$M$4:$M$5</c:f>
              <c:numCache>
                <c:formatCode>General</c:formatCode>
                <c:ptCount val="2"/>
                <c:pt idx="0">
                  <c:v>86277706</c:v>
                </c:pt>
                <c:pt idx="1">
                  <c:v>4965225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13-4B3B-BD93-DCF3291EEF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96259842519689"/>
          <c:y val="0.32087160979877521"/>
          <c:w val="0.32637073490813651"/>
          <c:h val="0.509772263315570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67874169913782"/>
          <c:y val="6.0477058423252648E-2"/>
          <c:w val="0.80940006397878683"/>
          <c:h val="0.5599630601730338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List2!$B$2:$B$22</c:f>
              <c:strCache>
                <c:ptCount val="21"/>
                <c:pt idx="0">
                  <c:v>Zagrebačka županija</c:v>
                </c:pt>
                <c:pt idx="1">
                  <c:v>Krapinsko-zagorska županija</c:v>
                </c:pt>
                <c:pt idx="2">
                  <c:v>Sisačko-moslavačka županija</c:v>
                </c:pt>
                <c:pt idx="3">
                  <c:v>Karlovačka županija</c:v>
                </c:pt>
                <c:pt idx="4">
                  <c:v>Varaždinska županija</c:v>
                </c:pt>
                <c:pt idx="5">
                  <c:v>Koprivničko-križevačka županija</c:v>
                </c:pt>
                <c:pt idx="6">
                  <c:v>Bjelovarsko-bilogorska županija</c:v>
                </c:pt>
                <c:pt idx="7">
                  <c:v>Primorsko-goranska županija</c:v>
                </c:pt>
                <c:pt idx="8">
                  <c:v>Ličko-senjska županija</c:v>
                </c:pt>
                <c:pt idx="9">
                  <c:v>Virovitičko-podravska županija</c:v>
                </c:pt>
                <c:pt idx="10">
                  <c:v>Požeško-slavonska županija</c:v>
                </c:pt>
                <c:pt idx="11">
                  <c:v>Brodsko-posavska županija</c:v>
                </c:pt>
                <c:pt idx="12">
                  <c:v>Zadarska županija</c:v>
                </c:pt>
                <c:pt idx="13">
                  <c:v>Osječko-baranjska županija</c:v>
                </c:pt>
                <c:pt idx="14">
                  <c:v>Šibensko-kninska županija</c:v>
                </c:pt>
                <c:pt idx="15">
                  <c:v>Vukovarsko-srijemska županija</c:v>
                </c:pt>
                <c:pt idx="16">
                  <c:v>Splitsko-dalmatinska županija</c:v>
                </c:pt>
                <c:pt idx="17">
                  <c:v>Istarska županija</c:v>
                </c:pt>
                <c:pt idx="18">
                  <c:v>Dubrovačko-neretvanska županija</c:v>
                </c:pt>
                <c:pt idx="19">
                  <c:v>Međimurska županija</c:v>
                </c:pt>
                <c:pt idx="20">
                  <c:v>Grad Zagreb</c:v>
                </c:pt>
              </c:strCache>
            </c:strRef>
          </c:cat>
          <c:val>
            <c:numRef>
              <c:f>List2!$C$2:$C$22</c:f>
              <c:numCache>
                <c:formatCode>General</c:formatCode>
                <c:ptCount val="21"/>
                <c:pt idx="0">
                  <c:v>139913</c:v>
                </c:pt>
                <c:pt idx="1">
                  <c:v>177835</c:v>
                </c:pt>
                <c:pt idx="2">
                  <c:v>38021</c:v>
                </c:pt>
                <c:pt idx="3">
                  <c:v>364517</c:v>
                </c:pt>
                <c:pt idx="4">
                  <c:v>81284</c:v>
                </c:pt>
                <c:pt idx="5">
                  <c:v>18924</c:v>
                </c:pt>
                <c:pt idx="6">
                  <c:v>24323</c:v>
                </c:pt>
                <c:pt idx="7">
                  <c:v>2966489</c:v>
                </c:pt>
                <c:pt idx="8">
                  <c:v>820648</c:v>
                </c:pt>
                <c:pt idx="9">
                  <c:v>16710</c:v>
                </c:pt>
                <c:pt idx="10">
                  <c:v>19706</c:v>
                </c:pt>
                <c:pt idx="11">
                  <c:v>36759</c:v>
                </c:pt>
                <c:pt idx="12">
                  <c:v>1751741</c:v>
                </c:pt>
                <c:pt idx="13">
                  <c:v>107598</c:v>
                </c:pt>
                <c:pt idx="14">
                  <c:v>1009451</c:v>
                </c:pt>
                <c:pt idx="15">
                  <c:v>80549</c:v>
                </c:pt>
                <c:pt idx="16">
                  <c:v>3657001</c:v>
                </c:pt>
                <c:pt idx="17">
                  <c:v>4481698</c:v>
                </c:pt>
                <c:pt idx="18">
                  <c:v>2237036</c:v>
                </c:pt>
                <c:pt idx="19">
                  <c:v>81924</c:v>
                </c:pt>
                <c:pt idx="20">
                  <c:v>1454019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38-4D9D-9DCD-15FF831E4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2099484752"/>
        <c:axId val="2100113216"/>
      </c:barChart>
      <c:catAx>
        <c:axId val="20994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318000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00113216"/>
        <c:crosses val="autoZero"/>
        <c:auto val="1"/>
        <c:lblAlgn val="ctr"/>
        <c:lblOffset val="100"/>
        <c:noMultiLvlLbl val="0"/>
      </c:catAx>
      <c:valAx>
        <c:axId val="210011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99484752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321096426823299E-2"/>
                <c:y val="0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r-HR"/>
                    <a:t>u</a:t>
                  </a:r>
                  <a:r>
                    <a:rPr lang="hr-HR" baseline="0"/>
                    <a:t> m</a:t>
                  </a:r>
                  <a:r>
                    <a:rPr lang="hr-HR"/>
                    <a:t>ilijunima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2020-06-01T04:52:00Z</dcterms:created>
  <dcterms:modified xsi:type="dcterms:W3CDTF">2020-06-01T04:52:00Z</dcterms:modified>
</cp:coreProperties>
</file>